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ТОО «WEYRINAQUA ENGINEERING»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Государственная лицензия на проектирование №   (I Категория ответственности)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Республика Казахстан, 050040, г. Алматы,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Медеуский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район, проспект Аль-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Фараби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, д. 77/7, БЦ «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Esentai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Tower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»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Система менеджмента качества сертифицирована по стандарту ISO 9001:2015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СОГЛАСОВАНО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Директор по капитальному строительству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ТОО «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Almaty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Digital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Park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_____________________ /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Оспанов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Е. М.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«____» __________________ 2026 г.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УТВЕРЖДАЮ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Технический директор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ТОО «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WeyrinAqua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Engineering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»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_____________________ / Ахметов Б. К.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«____» __________________ 2026 г.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М.П.</w:t>
      </w:r>
    </w:p>
    <w:p w:rsidR="009E5171" w:rsidRPr="009E5171" w:rsidRDefault="009E5171" w:rsidP="009E5171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ТЕХНИЧЕСКОЕ ЗАДАНИЕ (ПРИМЕР ВЫПОЛНЕННОГО ПРОЕКТА)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на разработку проектно-сметной документации (ПСД) и рабочей документации (РД) по объекту: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«Станция комплексной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химводоочистки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(ХВО) и глубокой деминерализации производительностью 1200 м³/сутки для нужд подпитки котлов высокого давления и технологических линий»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Код документа по внутренней номенклатуре: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WA-2026-HVO-ADP-001-ПСД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Стадия проектирования: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Сводная стадия «П» (Проект) с выделением этапа «РД» (Рабочая документация)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---</w:t>
      </w:r>
    </w:p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 ОБЩИЕ ПОЛОЖЕНИЯ И ЮРИДИЧЕСКИЕ ОСНОВАНИЯ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1.1. Основание для проектирования</w:t>
      </w:r>
    </w:p>
    <w:p w:rsidR="009E5171" w:rsidRPr="009E5171" w:rsidRDefault="009E5171" w:rsidP="009E51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Договор на выполнение проектно-изыскательских и инжиниринговых работ № ДП-2026/894 от 12.01.2026 г.</w:t>
      </w:r>
    </w:p>
    <w:p w:rsidR="009E5171" w:rsidRPr="009E5171" w:rsidRDefault="009E5171" w:rsidP="009E51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Технические условия на подключение к инженерным сетям водоснабжения и водоотведения ГКП «Алматы Су» № ТУ-4519/26 от 15.01.2026 г.</w:t>
      </w:r>
    </w:p>
    <w:p w:rsidR="009E5171" w:rsidRPr="009E5171" w:rsidRDefault="009E5171" w:rsidP="009E5171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Акт выбора и предоставления земельного участка под строительство производственного модуля ХВО от 20.01.2026 г.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1.2. Нормативно-правовая и техническая база Республики Казахстан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lastRenderedPageBreak/>
        <w:t xml:space="preserve">Проектные решения должны строго удовлетворять требованиям законодательства РК, актуального на период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2026 года</w:t>
      </w:r>
      <w:r w:rsidRPr="009E5171">
        <w:rPr>
          <w:rFonts w:ascii="Times New Roman" w:eastAsia="Times New Roman" w:hAnsi="Times New Roman" w:cs="Times New Roman"/>
          <w:lang w:eastAsia="ru-RU"/>
        </w:rPr>
        <w:t>:</w:t>
      </w:r>
    </w:p>
    <w:p w:rsidR="009E5171" w:rsidRPr="009E5171" w:rsidRDefault="009E5171" w:rsidP="009E51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Экологический кодекс Республики Казахстан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(с изменениями 2025–2026 гг. в части нормирования сбросов высокоминерализованных стоков и повторного использования очищенных вод —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Zero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Liquid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Discharge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(ZLD)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концепт).</w:t>
      </w:r>
    </w:p>
    <w:p w:rsidR="009E5171" w:rsidRPr="009E5171" w:rsidRDefault="009E5171" w:rsidP="009E51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СП РК 4.01-101-2012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«Водоснабжение. Наружные сети и сооружения».</w:t>
      </w:r>
    </w:p>
    <w:p w:rsidR="009E5171" w:rsidRPr="009E5171" w:rsidRDefault="009E5171" w:rsidP="009E51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СП РК 4.01-102-2013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«Водоотведение. Наружные сети и сооружения».</w:t>
      </w:r>
    </w:p>
    <w:p w:rsidR="009E5171" w:rsidRPr="009E5171" w:rsidRDefault="009E5171" w:rsidP="009E51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СН РК 4.01-01-2011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«Проектирование наружных сетей водоснабжения и водоотведения».</w:t>
      </w:r>
    </w:p>
    <w:p w:rsidR="009E5171" w:rsidRPr="009E5171" w:rsidRDefault="009E5171" w:rsidP="009E51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СНиП II-35-76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«Котельные установки» (в части требований к качеству питательной воды паровых котлов).</w:t>
      </w:r>
    </w:p>
    <w:p w:rsidR="009E5171" w:rsidRPr="009E5171" w:rsidRDefault="009E5171" w:rsidP="009E51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ГОСТ 21.401-88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«Технологические решения. Рабочие чертежи».</w:t>
      </w:r>
    </w:p>
    <w:p w:rsidR="009E5171" w:rsidRPr="009E5171" w:rsidRDefault="009E5171" w:rsidP="009E5171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ГОСТ 21.1101-2013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«Основные требования к проектной и рабочей документации».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1.3. Требования к цифровому моделированию (BIM)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Проект выполняется в единой сквозной среде информационного моделирования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BIM уровня LOD 400 (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Level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of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Development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)</w:t>
      </w:r>
      <w:r w:rsidRPr="009E5171">
        <w:rPr>
          <w:rFonts w:ascii="Times New Roman" w:eastAsia="Times New Roman" w:hAnsi="Times New Roman" w:cs="Times New Roman"/>
          <w:lang w:eastAsia="ru-RU"/>
        </w:rPr>
        <w:t>.</w:t>
      </w:r>
    </w:p>
    <w:p w:rsidR="009E5171" w:rsidRPr="009E5171" w:rsidRDefault="009E5171" w:rsidP="009E51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Программный комплекс: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Autodesk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Revit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2026 /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Autodesk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Civil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3D 2026.</w:t>
      </w:r>
    </w:p>
    <w:p w:rsidR="009E5171" w:rsidRPr="009E5171" w:rsidRDefault="009E5171" w:rsidP="009E51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Координация и проверка коллизий: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Autodesk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Navisworks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Advanced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2026.</w:t>
      </w:r>
    </w:p>
    <w:p w:rsidR="009E5171" w:rsidRPr="009E5171" w:rsidRDefault="009E5171" w:rsidP="009E5171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Требование: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Полное отсутствие пространственных и технологических коллизий (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Zero-Collision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Standard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 между технологическими трубопроводами (ТХ), кабельными лотками (ЭМ/АТХ) и строительными конструкциями (КМ/КЖ). Все элементы оборудования должны содержать заполненные атрибутивные данные: артикул, завод-изготовитель, энергопотребление, масса, регламент обслуживания.</w:t>
      </w:r>
    </w:p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 НАЗНАЧЕНИЕ ОБЪЕКТА И СТРАТЕГИЧЕСКИЕ ТЕХНИЧЕСКИЕ ПАРАМЕТРЫ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2.1. Режим работы и надежность</w:t>
      </w:r>
    </w:p>
    <w:p w:rsidR="009E5171" w:rsidRPr="009E5171" w:rsidRDefault="009E5171" w:rsidP="009E517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Режим работы: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Непрерывный, круглогодичный, 24 часа в сутки, 365 дней в году.</w:t>
      </w:r>
    </w:p>
    <w:p w:rsidR="009E5171" w:rsidRPr="009E5171" w:rsidRDefault="009E5171" w:rsidP="009E517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Количество смен: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4 смены (автоматизированный режим контроля без постоянного присутствия оператора в технологическом зале —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Unmanned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Operation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Standard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).</w:t>
      </w:r>
    </w:p>
    <w:p w:rsidR="009E5171" w:rsidRPr="009E5171" w:rsidRDefault="009E5171" w:rsidP="009E5171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Категория надежности водоснабжения: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I Категория (согласно СП РК 4.01-101-2012 — недопустим перерыв в подаче деминерализованной воды на производство). Технологическая схема должна предусматривать 100% резервирование основного насосного и мембранного оборудования ($2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50\%$ или $2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100\%$ поезда фильтрации).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2.2. Физико-химические показатели исходной и целевой воды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Проект станций ХВО должен базироваться на наихудших сезонных показателях качества исходной воды (период весеннего паводка реки Есиль /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Заилийского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Алатау).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1973"/>
        <w:gridCol w:w="1446"/>
        <w:gridCol w:w="1731"/>
        <w:gridCol w:w="1454"/>
        <w:gridCol w:w="1987"/>
      </w:tblGrid>
      <w:tr w:rsidR="009E5171" w:rsidRPr="009E5171" w:rsidTr="009E517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аналитического показателя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Исходная вода (Паводковый пик)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Требуемое качество (Подпитка котлов)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 контроля (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КИПиА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Водородный показатель ($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pH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ед. 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pH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7.2 – 8.1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8.5 – 9.2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Потоковый 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pH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-метр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Мутность (по каолину)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мг/дм³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22.0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$ 0.1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Мутномер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 лазерный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Индекс плотности ила ($SDI_{15}$)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5.5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$ 2.0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Дискретный тест / Автомат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Общая жесткость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мкг-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экв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/дм³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5400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$ 5.0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Потоковый 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титратор</w:t>
            </w:r>
            <w:proofErr w:type="spellEnd"/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Железо общее ($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Fe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^{2+} + 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Fe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^{3+}$)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мг/дм³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0.85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$ 0.02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Фотоколориметр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Кремнекислота ($SiO_2$)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мг/дм³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18.5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$ 0.05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Потоковый 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силикометр</w:t>
            </w:r>
            <w:proofErr w:type="spellEnd"/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Растворенный кислород ($O_2$)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мкг/дм³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8200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$ 10.0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Оптический датчик кислорода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Общее солесодержание ($TDS$)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мг/дм³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$ 1.0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Кондуктометр (удельное сопротивление </w:t>
            </w: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ge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$ 10 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МОм·см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Перманганатная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 окисляемость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мг $O_2$/дм³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5.2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$\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le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$ 1.0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Лабораторный контроль</w:t>
            </w:r>
          </w:p>
        </w:tc>
      </w:tr>
    </w:tbl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3. ТЕХНОЛОГИЧЕСКИЕ ТРЕБОВАНИЯ К БЛОКАМ ФИЛЬТРАЦИИ И ОЧИСТКИ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Технологическая концепция реализует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многобарьерную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защиту (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Multi-Barrier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Protection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Strategy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Scheme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) на базе следующих запатентованных узлов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WeyrinAqua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: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3.1. Узел предварительной механической очистки и коагуляции (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Pre-Treatment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Stage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9E5171" w:rsidRPr="009E5171" w:rsidRDefault="009E5171" w:rsidP="009E517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Дисковая фильтрация: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Предусмотреть автоматическую установку дисковой фильтрации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Weyrin-Disk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Серия HD-3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с рейтингом фильтрации 50 мкм. Промывка дисков должна инициироваться автоматически по сигналу датчика перепада давления ($\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Delta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P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ge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0.6$ бар) или по временному интервалу.</w:t>
      </w:r>
    </w:p>
    <w:p w:rsidR="009E5171" w:rsidRPr="009E5171" w:rsidRDefault="009E5171" w:rsidP="009E5171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Узел дозирования коагулянта: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Предусмотреть дозирование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оксихлорида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алюминия для укрупнения коллоидных частиц перед блоком ультрафильтрации. Комплекс дозирования должен включать в себя расходную емкость с мешалкой, два цифровых дозировочных насоса мембранного типа (рабочий/резервный) с управлением по сигналу 4-20 мА от расходомера исходной воды.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3.2. Блок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ультрафильтрационной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деколлоидации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Ultrafiltration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Barrier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9E5171" w:rsidRPr="009E5171" w:rsidRDefault="009E5171" w:rsidP="009E517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Мембраны: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Использовать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ультрафильтрационные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модули с половолоконной структурой типа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In-Out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(материал волокна — модифицированный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полиэфирсульфон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PES с размером пор 0.02 мкм).</w:t>
      </w:r>
    </w:p>
    <w:p w:rsidR="009E5171" w:rsidRPr="009E5171" w:rsidRDefault="009E5171" w:rsidP="009E5171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Режим промывки: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Предусмотреть циклы прямой, обратной промывки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пермеатом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Backwash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 и химически усиленной обратной промывки (</w:t>
      </w: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CEB —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Chemically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Enhanced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Backwash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 с использованием растворов гипохлорита натрия ($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NaClO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$) и лимонной кислоты ($C_6H_8O_7$). Трубопроводная обвязка должна быть выполнена из химически стойкого ПВХ (PVC-U/PVC-C) с применением пневмоприводных дисковых затворов.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3.3. Двухступенчатый мембранный обратный осмос (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Double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Pass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Reverse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Osmosis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DPRO)</w:t>
      </w:r>
    </w:p>
    <w:p w:rsidR="009E5171" w:rsidRPr="009E5171" w:rsidRDefault="009E5171" w:rsidP="009E51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Спецификация мембран: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Высокоселективные низконапорные полиамидные мембранные элементы типоразмера 8040 (например,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Dow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Filmtec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™ BW30HR-440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или технологический эквивалент 2026 года с коэффициентом селективности по $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NaCl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ge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99.7\%$).</w:t>
      </w:r>
    </w:p>
    <w:p w:rsidR="009E5171" w:rsidRPr="009E5171" w:rsidRDefault="009E5171" w:rsidP="009E51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Антискалант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Запроектировать автоматическую систему дозирования ингибитора осадкообразования (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антискаланта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марки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Vitec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или аналога) в линию подачи на первую ступень для предотвращения кристаллизации карбонатов кальция и сульфатов бария на поверхности мембран.</w:t>
      </w:r>
    </w:p>
    <w:p w:rsidR="009E5171" w:rsidRPr="009E5171" w:rsidRDefault="009E5171" w:rsidP="009E5171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Гидравлический КПД (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Recovery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Rate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Проектные решения первой ступени должны обеспечивать выход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пермеата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не менее 75-80%. Концентрат первой ступени направляется на установку повторного концентрирования (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Weyrin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Recirculation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Technology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 для снижения объема сточных вод.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3.4. Блок финишного обессоливания: Непрерывная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электродеионизация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(CEDI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Stage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9E5171" w:rsidRPr="009E5171" w:rsidRDefault="009E5171" w:rsidP="009E517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Технология: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Для удаления остаточных следов кремниевой кислоты, бора и растворенных солей до уровня удельного сопротивления 10–16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МОм·см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использовать модули непрерывной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электродеионизации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Continuous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Electrodeionization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— CEDI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Ionpure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).</w:t>
      </w:r>
    </w:p>
    <w:p w:rsidR="009E5171" w:rsidRPr="009E5171" w:rsidRDefault="009E5171" w:rsidP="009E5171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Преимущество: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Исключить из проекта классические фильтры смешанного действия (ФСД) с целью ликвидации опасных узлов хранения и регенерации концентрированных растворов серной кислоты ($H_2SO_4$) и едкого натра ($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NaOH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$). Это снижает экологические риски предприятия и переводит объект в категорию повышенной промышленной безопасности.</w:t>
      </w:r>
    </w:p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4. ИНЖЕНЕРНО-ТЕХНОЛОГИЧЕСКИЕ РАСЧЕТЫ (ВЕРИФИКАЦИОННЫЙ БЛОК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ГИПа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Для подтверждения корректности выбора габаритов оборудования ХВО, в данном разделе приведен математический аппарат расчета критических узлов, выполненный проектным департаментом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WeyrinAqua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на основании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СП РК 4.01-102-2013</w:t>
      </w:r>
      <w:r w:rsidRPr="009E5171">
        <w:rPr>
          <w:rFonts w:ascii="Times New Roman" w:eastAsia="Times New Roman" w:hAnsi="Times New Roman" w:cs="Times New Roman"/>
          <w:lang w:eastAsia="ru-RU"/>
        </w:rPr>
        <w:t>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4.1. Расчет материального баланса и требуемой площади мембран обратного осмоса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Требуемая производительность по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пермеату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составляет $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Q_p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= 50 м³/ч$.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Расчетная температура исходной воды в зимний период составляет $T_{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min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 = +5^\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circ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C$.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Коэффициент температурной коррекции потока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пермеата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($TCF$ —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Temperature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Correction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Factor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 вычисляется по формуле:</w:t>
      </w:r>
    </w:p>
    <w:p w:rsidR="009E5171" w:rsidRPr="009E5171" w:rsidRDefault="009E5171" w:rsidP="009E5171">
      <w:pPr>
        <w:rPr>
          <w:rFonts w:ascii="Times New Roman" w:eastAsia="Times New Roman" w:hAnsi="Times New Roman" w:cs="Times New Roman"/>
          <w:lang w:val="en-US" w:eastAsia="ru-RU"/>
        </w:rPr>
      </w:pPr>
      <w:r w:rsidRPr="009E5171">
        <w:rPr>
          <w:rFonts w:ascii="Times New Roman" w:eastAsia="Times New Roman" w:hAnsi="Times New Roman" w:cs="Times New Roman"/>
          <w:lang w:val="en-US" w:eastAsia="ru-RU"/>
        </w:rPr>
        <w:t>$$TCF = 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exp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\left(2640 \times \left(\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{1}{298} - 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{1}{273 + T}\right)\right)$$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US"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При</w:t>
      </w:r>
      <w:r w:rsidRPr="009E5171">
        <w:rPr>
          <w:rFonts w:ascii="Times New Roman" w:eastAsia="Times New Roman" w:hAnsi="Times New Roman" w:cs="Times New Roman"/>
          <w:lang w:val="en-US" w:eastAsia="ru-RU"/>
        </w:rPr>
        <w:t xml:space="preserve"> $T = 5^\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circ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 xml:space="preserve"> C$:</w:t>
      </w:r>
    </w:p>
    <w:p w:rsidR="009E5171" w:rsidRPr="009E5171" w:rsidRDefault="009E5171" w:rsidP="009E5171">
      <w:pPr>
        <w:rPr>
          <w:rFonts w:ascii="Times New Roman" w:eastAsia="Times New Roman" w:hAnsi="Times New Roman" w:cs="Times New Roman"/>
          <w:lang w:val="en-US" w:eastAsia="ru-RU"/>
        </w:rPr>
      </w:pPr>
      <w:r w:rsidRPr="009E5171">
        <w:rPr>
          <w:rFonts w:ascii="Times New Roman" w:eastAsia="Times New Roman" w:hAnsi="Times New Roman" w:cs="Times New Roman"/>
          <w:lang w:val="en-US" w:eastAsia="ru-RU"/>
        </w:rPr>
        <w:lastRenderedPageBreak/>
        <w:t>$$TCF = 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exp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\left(2640 \times \left(\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{1}{298} - 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{1}{278}\right)\right) = 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exp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(2640 \times (-0.0002414)) = 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exp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>(-0.6373) \</w:t>
      </w:r>
      <w:proofErr w:type="spellStart"/>
      <w:r w:rsidRPr="009E5171">
        <w:rPr>
          <w:rFonts w:ascii="Times New Roman" w:eastAsia="Times New Roman" w:hAnsi="Times New Roman" w:cs="Times New Roman"/>
          <w:lang w:val="en-US" w:eastAsia="ru-RU"/>
        </w:rPr>
        <w:t>approx</w:t>
      </w:r>
      <w:proofErr w:type="spellEnd"/>
      <w:r w:rsidRPr="009E5171">
        <w:rPr>
          <w:rFonts w:ascii="Times New Roman" w:eastAsia="Times New Roman" w:hAnsi="Times New Roman" w:cs="Times New Roman"/>
          <w:lang w:val="en-US" w:eastAsia="ru-RU"/>
        </w:rPr>
        <w:t xml:space="preserve"> 0.528$$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Следовательно, производительность мембран при минимальной температуре падает почти в 2 раза. Требуемая проектная производительность мембранного блока при стандартных $25^\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circ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C$ ($Q_{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std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}$) должна быть:</w:t>
      </w:r>
    </w:p>
    <w:p w:rsidR="009E5171" w:rsidRPr="009E5171" w:rsidRDefault="009E5171" w:rsidP="009E5171">
      <w:pPr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$$Q_{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std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 =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Q_p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}{TCF} =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{50}{0.528} = 94.7 м³/ч$$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Принимая расчетный безопасный средний поток воды через единицу площади мембраны (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Design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Flux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Rate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 для очищенной муниципальной воды $J = 22 л/(м²\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cdot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ч)$, рассчитываем необходимую общую площадь мембранной поверхности ($A_{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total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}$):</w:t>
      </w:r>
    </w:p>
    <w:p w:rsidR="009E5171" w:rsidRPr="009E5171" w:rsidRDefault="009E5171" w:rsidP="009E5171">
      <w:pPr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$$A_{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total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 =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{Q_{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std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1000}{J} =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{94.7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times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1000}{22} = 4304.5 м²$$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Каждый мембранный модуль типоразмера 8040 (модель </w:t>
      </w: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BW30HR-440</w:t>
      </w:r>
      <w:r w:rsidRPr="009E5171">
        <w:rPr>
          <w:rFonts w:ascii="Times New Roman" w:eastAsia="Times New Roman" w:hAnsi="Times New Roman" w:cs="Times New Roman"/>
          <w:lang w:eastAsia="ru-RU"/>
        </w:rPr>
        <w:t>) имеет активную площадь поверхности $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A_m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= 41 м²$. Рассчитываем минимально необходимое количество мембранных элементов ($N$):</w:t>
      </w:r>
    </w:p>
    <w:p w:rsidR="009E5171" w:rsidRPr="009E5171" w:rsidRDefault="009E5171" w:rsidP="009E5171">
      <w:pPr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$$N =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{A_{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total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}}{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A_m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} =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frac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{4304.5}{41}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approx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105 штук$$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Инженерное проектное решение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WeyrinAqua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В ТЗ закладывается технологический поезд обратного осмоса, состоящий из 18 корпусов высокого давления (давление до 21 бар, материал — стеклопластик FRP), по 6 мембранных элементов в каждом корпусе (всего 108 мембран), расположенных по схеме каскадирования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Stages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12:6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для обеспечения идеального гидродинамического режима распределения потока и предотвращения застойных зон (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Antifouling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Positioning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).</w:t>
      </w:r>
    </w:p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5. ТРЕБОВАНИЯ К АВТОМАТИЗАЦИИ, ЭЛЕКТРОСНАБЖЕНИЮ И ПРОМЫШЛЕННОМУ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IoT</w:t>
      </w:r>
      <w:proofErr w:type="spellEnd"/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5.1. </w:t>
      </w: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Архитектура</w:t>
      </w: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системы</w:t>
      </w: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</w:t>
      </w: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автоматизации</w:t>
      </w: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val="en-US" w:eastAsia="ru-RU"/>
        </w:rPr>
        <w:t xml:space="preserve"> (Industrial Automation &amp; SCADA Layer)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Комплекс ХВО должен функционировать под управлением распределенной отказоустойчивой системы автоматического управления (САУ ХВО).</w:t>
      </w:r>
    </w:p>
    <w:p w:rsidR="009E5171" w:rsidRPr="009E5171" w:rsidRDefault="009E5171" w:rsidP="009E51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Логический контроллер: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Центральный программируемый логический контроллер (ПЛК) —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Siemens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Simatic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S7-1500H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(резервированный процессорный модуль) или эквивалент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Schneider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Electric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Modicon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M580.</w:t>
      </w:r>
    </w:p>
    <w:p w:rsidR="009E5171" w:rsidRPr="009E5171" w:rsidRDefault="009E5171" w:rsidP="009E51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Периферийное оборудование: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Связь с полевыми датчиками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КИПиА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и исполнительными механизмами осуществляется по цифровой шине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PROFINET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и протоколу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IO-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Link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для передачи расширенных диагностических данных (счетчики наработки, предупреждения о загрязнении сенсоров).</w:t>
      </w:r>
    </w:p>
    <w:p w:rsidR="009E5171" w:rsidRPr="009E5171" w:rsidRDefault="009E5171" w:rsidP="009E5171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Панель оператора (HMI):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Локальная графическая сенсорная панель общего контроля —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Siemens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Comfort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>Panel</w:t>
      </w:r>
      <w:proofErr w:type="spellEnd"/>
      <w:r w:rsidRPr="009E5171">
        <w:rPr>
          <w:rFonts w:ascii="Times New Roman" w:eastAsia="Times New Roman" w:hAnsi="Times New Roman" w:cs="Times New Roman"/>
          <w:i/>
          <w:iCs/>
          <w:lang w:eastAsia="ru-RU"/>
        </w:rPr>
        <w:t xml:space="preserve"> 15"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на лицевой панели Главного щита управления (ГЩУ-ХВО). Мнемосхема должна визуализировать в реальном времени: солесодержание во всех точках, расходы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пермеата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/концентрата, состояние насосных агрегатов с индикацией частоты вращения, текущий статус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фильтроциклов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ультрафильтрации.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5.2. Интеграция в цифровую экосистему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Weyrin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Cloud-IoT</w:t>
      </w:r>
      <w:proofErr w:type="spellEnd"/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В составе шкафа управления предусмотреть промышленный шлюз телеметрии (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Edge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Gateway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). САУ должна передавать на облачную платформу предиктивного мониторинга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Weyrin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Cloud-IoT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более 120 параметров технологического процесса. Алгоритмы машинного обучения платформы должны анализировать динамику изменения трансмембранного давления ($\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Delta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P_{TMP}$) и солевого проскока, формируя для службы эксплуатации уведомления о необходимости проведения превентивной CIP-мойки за 48 часов до падения критических показателей эффективности (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Энергоэффективный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ROI-инжиниринг).</w:t>
      </w:r>
    </w:p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6. СТРОИТЕЛЬНЫЕ, АРХИТЕКТУРНЫЕ И ЭКОЛОГИЧЕСКИЕ ТРЕБОВАНИЯ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6.1. Архитектурно-строительные решения (АС/КЖ/КМ)</w:t>
      </w:r>
    </w:p>
    <w:p w:rsidR="009E5171" w:rsidRPr="009E5171" w:rsidRDefault="009E5171" w:rsidP="009E51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Разместить технологическое оборудование ХВО в быстровозводимом каркасном здании из трехслойных сэндвич-панелей толщиной не менее 150 мм (наполнитель — минеральная вата высокой плотности).</w:t>
      </w:r>
    </w:p>
    <w:p w:rsidR="009E5171" w:rsidRPr="009E5171" w:rsidRDefault="009E5171" w:rsidP="009E51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 xml:space="preserve">Предусмотреть железобетонную фундаментную плиту (марка бетона по прочности не ниже B25, по водонепроницаемости — W8, по морозостойкости — F150) с нанесением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химстойкого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полимерного покрытия, устойчивого к воздействию растворов кислот и щелочей.</w:t>
      </w:r>
    </w:p>
    <w:p w:rsidR="009E5171" w:rsidRPr="009E5171" w:rsidRDefault="009E5171" w:rsidP="009E5171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Запроектировать технологические приямки для сбора дренажных вод и аварийных проливов реагентов с последующей автоматической откачкой погружными химическими насосами в бак-нейтрализатор.</w:t>
      </w:r>
    </w:p>
    <w:p w:rsidR="009E5171" w:rsidRPr="009E5171" w:rsidRDefault="009E5171" w:rsidP="009E5171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6.2. Экологические требования и обращение со стоками</w:t>
      </w:r>
    </w:p>
    <w:p w:rsidR="009E5171" w:rsidRPr="009E5171" w:rsidRDefault="009E5171" w:rsidP="009E51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Нейтрализация стоков: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Дренажные сточные воды от регенераций и химических промывок мембран должны поступать в автоматический бак-нейтрализатор объемом $V = 25 м³$ со встроенной системой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барботажа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и автоматической корректировкой $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pH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$ путем дозирования товарной кислоты или щелочи до нормативного диапазона $6.5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le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pH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\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le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8.5$.</w:t>
      </w:r>
    </w:p>
    <w:p w:rsidR="009E5171" w:rsidRPr="009E5171" w:rsidRDefault="009E5171" w:rsidP="009E5171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Экологический </w:t>
      </w:r>
      <w:proofErr w:type="spellStart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комплаенс</w:t>
      </w:r>
      <w:proofErr w:type="spellEnd"/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 xml:space="preserve"> 2026: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Запрещается прямой сброс высокоминерализованного концентрата обратного осмоса в городскую сеть канализации без предварительного смешивания или утилизации. Предусмотреть интеграцию узла выпарных аппаратов или систем повторного использования концентрата на хозяйственно-бытовые нужды предприятия (смыв, орошение, тушение пыли), обеспечивая строгое соответствие лимитам выбросов по Водному и Экологическому кодексам РК.</w:t>
      </w:r>
    </w:p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7. СОСТАВ РАЗРАБАТЫВАЕМОЙ ДОКУМЕНТАЦИИ (ПСД) И СМЕТНЫЙ РАСЧЕТ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Выходной комплект проектно-сметной документации должен быть сформирован в строгом соответствии с требованиями СН РК 1.02-03-2011 и включать следующие основные разделы:</w:t>
      </w:r>
    </w:p>
    <w:p w:rsidR="009E5171" w:rsidRPr="009E5171" w:rsidRDefault="009E5171" w:rsidP="009E51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Том 1. Общая пояснительная записка (ОПЗ):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Обоснование выбранной технологии, материальные балансы, описание безопасности объекта.</w:t>
      </w:r>
    </w:p>
    <w:p w:rsidR="009E5171" w:rsidRPr="009E5171" w:rsidRDefault="009E5171" w:rsidP="009E51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Том 2. Технологические решения (ТХ):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Принципиальные гидравлические схемы, планы расположения оборудования с пространственной привязкой трубопроводов, спецификации оборудования по ГОСТ 21.401-88.</w:t>
      </w:r>
    </w:p>
    <w:p w:rsidR="009E5171" w:rsidRPr="009E5171" w:rsidRDefault="009E5171" w:rsidP="009E51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Том 3. Автоматизация технологических процессов (АТХ):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Схемы автоматизации функциональные, схемы электрические принципиальные шкафов управления, кабельные журналы, спецификации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КИПиА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.</w:t>
      </w:r>
    </w:p>
    <w:p w:rsidR="009E5171" w:rsidRPr="009E5171" w:rsidRDefault="009E5171" w:rsidP="009E51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Том 4. Силовое электрооборудование и электроосвещение (ЭМ/ЭО):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Расчет электрических нагрузок, схемы однолинейные питающей сети, планы прокладки силовых кабелей, расчет заземления и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молниезащиты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.</w:t>
      </w:r>
    </w:p>
    <w:p w:rsidR="009E5171" w:rsidRPr="009E5171" w:rsidRDefault="009E5171" w:rsidP="009E51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Том 5. Архитектурно-строительные решения и Конструкции (АС/КЖ/КМ):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Чертежи фундаментов, схемы монтажа каркаса здания, раскладка сэндвич-панелей.</w:t>
      </w:r>
    </w:p>
    <w:p w:rsidR="009E5171" w:rsidRPr="009E5171" w:rsidRDefault="009E5171" w:rsidP="009E5171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Том 6. Сметная документация (СМ):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Локальные сметы, объектные сметные расчеты, сводный сметный расчет стоимости строительства, выполненный в сертифицированном ПК </w:t>
      </w:r>
      <w:r w:rsidRPr="009E5171">
        <w:rPr>
          <w:rFonts w:ascii="Times New Roman" w:eastAsia="Times New Roman" w:hAnsi="Times New Roman" w:cs="Times New Roman"/>
          <w:b/>
          <w:bCs/>
          <w:lang w:eastAsia="ru-RU"/>
        </w:rPr>
        <w:t>АВС-4</w:t>
      </w:r>
      <w:r w:rsidRPr="009E5171">
        <w:rPr>
          <w:rFonts w:ascii="Times New Roman" w:eastAsia="Times New Roman" w:hAnsi="Times New Roman" w:cs="Times New Roman"/>
          <w:lang w:eastAsia="ru-RU"/>
        </w:rPr>
        <w:t xml:space="preserve"> с применением актуальной сметно-нормативной базы Республики Казахстан на квартал выпуска проекта.</w:t>
      </w:r>
    </w:p>
    <w:p w:rsidR="009E5171" w:rsidRPr="009E5171" w:rsidRDefault="009E5171" w:rsidP="009E5171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E51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8. МАТРИЦА ВЕРИФИКАЦИИ И ЛИСТ СОГЛАСОВАНИЯ ДОКУМЕНТА</w:t>
      </w:r>
    </w:p>
    <w:p w:rsidR="009E5171" w:rsidRPr="009E5171" w:rsidRDefault="009E5171" w:rsidP="009E5171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9E5171">
        <w:rPr>
          <w:rFonts w:ascii="Times New Roman" w:eastAsia="Times New Roman" w:hAnsi="Times New Roman" w:cs="Times New Roman"/>
          <w:lang w:eastAsia="ru-RU"/>
        </w:rPr>
        <w:t>Каждый этап проектирования проходит многоступенчатый внутренний контроль качества в Научно-техническом совете (НТС) ТОО «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WeyrinAqua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9E5171">
        <w:rPr>
          <w:rFonts w:ascii="Times New Roman" w:eastAsia="Times New Roman" w:hAnsi="Times New Roman" w:cs="Times New Roman"/>
          <w:lang w:eastAsia="ru-RU"/>
        </w:rPr>
        <w:t>Engineering</w:t>
      </w:r>
      <w:proofErr w:type="spellEnd"/>
      <w:r w:rsidRPr="009E5171">
        <w:rPr>
          <w:rFonts w:ascii="Times New Roman" w:eastAsia="Times New Roman" w:hAnsi="Times New Roman" w:cs="Times New Roman"/>
          <w:lang w:eastAsia="ru-RU"/>
        </w:rPr>
        <w:t>».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4"/>
        <w:gridCol w:w="1642"/>
        <w:gridCol w:w="2023"/>
        <w:gridCol w:w="1087"/>
        <w:gridCol w:w="1835"/>
        <w:gridCol w:w="1102"/>
      </w:tblGrid>
      <w:tr w:rsidR="009E5171" w:rsidRPr="009E5171" w:rsidTr="009E5171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Раздел ПСД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 разработчик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Квалификационный аттестат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Подпись / Штамп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Контролирующий эксперт НТС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Подпись / Дата</w:t>
            </w: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Технология (ТХ)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Ибрагимов С. А.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№ АЗ-001948-2022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д.т.н. Профессор Волков М. В.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Автоматизация (АТХ)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Цой Д. В.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№ АЗ-004512-2024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Главный </w:t>
            </w: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автоматизатор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 Романов Е. П.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5171" w:rsidRPr="009E5171" w:rsidTr="009E5171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Сметный расчет (СМ)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Садвакасова</w:t>
            </w:r>
            <w:proofErr w:type="spellEnd"/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 xml:space="preserve"> А. М.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  <w:r w:rsidRPr="009E5171">
              <w:rPr>
                <w:rFonts w:ascii="Times New Roman" w:eastAsia="Times New Roman" w:hAnsi="Times New Roman" w:cs="Times New Roman"/>
                <w:lang w:eastAsia="ru-RU"/>
              </w:rPr>
              <w:t>№ СМ-008914-2021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E5171" w:rsidRPr="009E5171" w:rsidRDefault="009E5171" w:rsidP="009E5171">
            <w:pPr>
              <w:spacing w:after="4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368A3" w:rsidRPr="009E5171" w:rsidRDefault="009E5171" w:rsidP="009E5171"/>
    <w:sectPr w:rsidR="009368A3" w:rsidRPr="009E5171" w:rsidSect="006351B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A150C"/>
    <w:multiLevelType w:val="multilevel"/>
    <w:tmpl w:val="226A8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13353"/>
    <w:multiLevelType w:val="multilevel"/>
    <w:tmpl w:val="5336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F7273"/>
    <w:multiLevelType w:val="multilevel"/>
    <w:tmpl w:val="D4C62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96BC0"/>
    <w:multiLevelType w:val="multilevel"/>
    <w:tmpl w:val="DA045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C5CC4"/>
    <w:multiLevelType w:val="multilevel"/>
    <w:tmpl w:val="1776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A5E15"/>
    <w:multiLevelType w:val="multilevel"/>
    <w:tmpl w:val="3EB2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112B22"/>
    <w:multiLevelType w:val="multilevel"/>
    <w:tmpl w:val="DA545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847CCB"/>
    <w:multiLevelType w:val="multilevel"/>
    <w:tmpl w:val="9588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862E68"/>
    <w:multiLevelType w:val="multilevel"/>
    <w:tmpl w:val="F60C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CF0E04"/>
    <w:multiLevelType w:val="multilevel"/>
    <w:tmpl w:val="E9505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791504"/>
    <w:multiLevelType w:val="multilevel"/>
    <w:tmpl w:val="C226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373A20"/>
    <w:multiLevelType w:val="multilevel"/>
    <w:tmpl w:val="3F142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71"/>
    <w:rsid w:val="002530A7"/>
    <w:rsid w:val="00484BE9"/>
    <w:rsid w:val="006351B5"/>
    <w:rsid w:val="009E5171"/>
    <w:rsid w:val="00A8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4C515A"/>
  <w15:chartTrackingRefBased/>
  <w15:docId w15:val="{EF3ABF72-FF01-EC40-ABE9-EF4CA80C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517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E5171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E5171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517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51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1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E51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9E517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math-inline">
    <w:name w:val="math-inline"/>
    <w:basedOn w:val="a0"/>
    <w:rsid w:val="009E5171"/>
  </w:style>
  <w:style w:type="paragraph" w:styleId="HTML">
    <w:name w:val="HTML Preformatted"/>
    <w:basedOn w:val="a"/>
    <w:link w:val="HTML0"/>
    <w:uiPriority w:val="99"/>
    <w:semiHidden/>
    <w:unhideWhenUsed/>
    <w:rsid w:val="009E51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51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9E5171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9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7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39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5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8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5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2248</Words>
  <Characters>12817</Characters>
  <Application>Microsoft Office Word</Application>
  <DocSecurity>0</DocSecurity>
  <Lines>106</Lines>
  <Paragraphs>30</Paragraphs>
  <ScaleCrop>false</ScaleCrop>
  <Company/>
  <LinksUpToDate>false</LinksUpToDate>
  <CharactersWithSpaces>15035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2026-06-30T07:00:00Z</dcterms:created>
  <dcterms:modified xsi:type="dcterms:W3CDTF">2026-06-30T07:02:00Z</dcterms:modified>
</cp:coreProperties>
</file>