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Техническое Задание</w:t>
      </w:r>
    </w:p>
    <w:p>
      <w:r>
        <w:rPr>
          <w:b/>
          <w:color w:val="0F172A"/>
          <w:sz w:val="32"/>
        </w:rPr>
        <w:t>1. Общие положения и организационно-правовые требования</w:t>
      </w:r>
    </w:p>
    <w:p>
      <w:r>
        <w:rPr>
          <w:b/>
          <w:sz w:val="26"/>
        </w:rPr>
        <w:t>1.1. Основание для проектирования</w:t>
      </w:r>
    </w:p>
    <w:p>
      <w:pPr>
        <w:pStyle w:val="ListBullet"/>
      </w:pPr>
      <w:r>
        <w:t>Договор на выполнение проектно-изыскательских работ (ПИР) № [Указать номер] от «___» ________ 202_ г.</w:t>
      </w:r>
    </w:p>
    <w:p>
      <w:pPr>
        <w:pStyle w:val="ListBullet"/>
      </w:pPr>
      <w:r>
        <w:t>Технические условия (ТУ) на подключение к инженерным сетям водоотведения, выданные эксплуатирующей организацией и согласованные уполномоченным органом (Департамент Экологии).</w:t>
      </w:r>
    </w:p>
    <w:p>
      <w:pPr>
        <w:pStyle w:val="ListBullet"/>
      </w:pPr>
      <w:r>
        <w:t>Акт выбора земельного участка, утвержденный генеральный план площадки и архитектурно-планировочное задание (АПЗ).</w:t>
      </w:r>
    </w:p>
    <w:p>
      <w:r>
        <w:rPr>
          <w:b/>
          <w:sz w:val="26"/>
        </w:rPr>
        <w:t>1.2. Стадийность проектирования и прохождение экспертизы</w:t>
      </w:r>
    </w:p>
    <w:p>
      <w:r>
        <w:t>Проектно-сметная документация (ПСД) должна быть разработана в строгом соответствии с требованиями СН РК 1.02-03-2011 «Порядок разработки, согласования, утверждения и состав проектно-сметной документации на строительство» в два этапа:</w:t>
      </w:r>
    </w:p>
    <w:p>
      <w:pPr>
        <w:pStyle w:val="ListBullet"/>
      </w:pPr>
      <w:r>
        <w:t>Стадия «П» (Проект): Объем и глубина проработки разделов должны полностью соответствовать требованиям для прохождения Комплексной вневедомственной экспертизы Республики Казахстан (РГП «Госэкспертиза» или аккредитованные частные экспертные центры).</w:t>
      </w:r>
    </w:p>
    <w:p>
      <w:pPr>
        <w:pStyle w:val="ListBullet"/>
      </w:pPr>
      <w:r>
        <w:t>Стадия «Р» (Рабочая документация): Разрабатывается детально на основе утвержденной Стадии «П» для последующего выполнения строительно-монтажных (СМР) и пусконаладочных работ (ПНР).</w:t>
      </w:r>
    </w:p>
    <w:p>
      <w:r>
        <w:rPr>
          <w:b/>
          <w:sz w:val="26"/>
        </w:rPr>
        <w:t>1.3. Требования к Генеральному проектировщику</w:t>
      </w:r>
    </w:p>
    <w:p>
      <w:r>
        <w:t>Генеральный проектировщик обязан обладать действующей Государственной лицензией на проектирование I категории на территории РК. Все разделы технологических решений (ТХ), наружных сетей (НВК) и автоматизации (АТХ) должны выполняться сквозным методом в среде трехмерного информационного моделирования BIM (LOD 400) с использованием ПО уровня Autodesk Revit / Civil 3D. Должен быть обеспечен автоматизированный контроль пространственных пересечений коммуникаций (Clash Detection) с формированием ведомостей объемов работ (ВОР).</w:t>
      </w:r>
    </w:p>
    <w:p>
      <w:r>
        <w:rPr>
          <w:b/>
          <w:color w:val="0F172A"/>
          <w:sz w:val="32"/>
        </w:rPr>
        <w:t>2. Гидравлические нагрузки и параметры очистки сточных вод</w:t>
      </w:r>
    </w:p>
    <w:p>
      <w:r>
        <w:rPr>
          <w:b/>
          <w:sz w:val="26"/>
        </w:rPr>
        <w:t>2.1. Расчетные балансовые показатели (Water Balance &amp; Hydraulics)</w:t>
      </w:r>
    </w:p>
    <w:p>
      <w:r>
        <w:t>Проектировщик обязан составить и обосновать сводный водохозяйственный баланс промышленного объекта. Номинальные и пиковые расчетные параметры водоотведения зафиксированы в Таблице 1: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8"/>
        <w:gridCol w:w="2048"/>
        <w:gridCol w:w="2048"/>
        <w:gridCol w:w="2048"/>
        <w:gridCol w:w="2048"/>
      </w:tblGrid>
      <w:tr>
        <w:tc>
          <w:tcPr>
            <w:tcW w:type="dxa" w:w="2048"/>
          </w:tcPr>
          <w:p>
            <w:r>
              <w:t>Наименование системы / Контура водоотведения</w:t>
            </w:r>
          </w:p>
        </w:tc>
        <w:tc>
          <w:tcPr>
            <w:tcW w:type="dxa" w:w="2048"/>
          </w:tcPr>
          <w:p>
            <w:r>
              <w:t>Расход куб.м/сут (средний)</w:t>
            </w:r>
          </w:p>
        </w:tc>
        <w:tc>
          <w:tcPr>
            <w:tcW w:type="dxa" w:w="2048"/>
          </w:tcPr>
          <w:p>
            <w:r>
              <w:t>Расход куб.м/час (макс.)</w:t>
            </w:r>
          </w:p>
        </w:tc>
        <w:tc>
          <w:tcPr>
            <w:tcW w:type="dxa" w:w="2048"/>
          </w:tcPr>
          <w:p>
            <w:r>
              <w:t>Режим сброса (ч/сут)</w:t>
            </w:r>
          </w:p>
        </w:tc>
        <w:tc>
          <w:tcPr>
            <w:tcW w:type="dxa" w:w="2048"/>
          </w:tcPr>
          <w:p>
            <w:r>
              <w:t>Категория надежности</w:t>
            </w:r>
          </w:p>
        </w:tc>
      </w:tr>
      <w:tr>
        <w:tc>
          <w:tcPr>
            <w:tcW w:type="dxa" w:w="2048"/>
          </w:tcPr>
          <w:p>
            <w:r>
              <w:t xml:space="preserve">Производственные сточные воды (К1) </w:t>
            </w:r>
          </w:p>
        </w:tc>
        <w:tc>
          <w:tcPr>
            <w:tcW w:type="dxa" w:w="2048"/>
          </w:tcPr>
          <w:p>
            <w:r>
              <w:t>[Например: 1800.0]</w:t>
            </w:r>
          </w:p>
        </w:tc>
        <w:tc>
          <w:tcPr>
            <w:tcW w:type="dxa" w:w="2048"/>
          </w:tcPr>
          <w:p>
            <w:r>
              <w:t>[Например: 95.0]</w:t>
            </w:r>
          </w:p>
        </w:tc>
        <w:tc>
          <w:tcPr>
            <w:tcW w:type="dxa" w:w="2048"/>
          </w:tcPr>
          <w:p>
            <w:r>
              <w:t>24 (непрерывно)</w:t>
            </w:r>
          </w:p>
        </w:tc>
        <w:tc>
          <w:tcPr>
            <w:tcW w:type="dxa" w:w="2048"/>
          </w:tcPr>
          <w:p>
            <w:r>
              <w:t>I категория</w:t>
            </w:r>
          </w:p>
        </w:tc>
      </w:tr>
      <w:tr>
        <w:tc>
          <w:tcPr>
            <w:tcW w:type="dxa" w:w="2048"/>
          </w:tcPr>
          <w:p>
            <w:r>
              <w:t xml:space="preserve">Хозяйственно-бытовые стоки (К2) </w:t>
            </w:r>
          </w:p>
        </w:tc>
        <w:tc>
          <w:tcPr>
            <w:tcW w:type="dxa" w:w="2048"/>
          </w:tcPr>
          <w:p>
            <w:r>
              <w:t>[Например: 150.0]</w:t>
            </w:r>
          </w:p>
        </w:tc>
        <w:tc>
          <w:tcPr>
            <w:tcW w:type="dxa" w:w="2048"/>
          </w:tcPr>
          <w:p>
            <w:r>
              <w:t>[Например: 12.5]</w:t>
            </w:r>
          </w:p>
        </w:tc>
        <w:tc>
          <w:tcPr>
            <w:tcW w:type="dxa" w:w="2048"/>
          </w:tcPr>
          <w:p>
            <w:r>
              <w:t>24 (неравномерный)</w:t>
            </w:r>
          </w:p>
        </w:tc>
        <w:tc>
          <w:tcPr>
            <w:tcW w:type="dxa" w:w="2048"/>
          </w:tcPr>
          <w:p>
            <w:r>
              <w:t>II категория</w:t>
            </w:r>
          </w:p>
        </w:tc>
      </w:tr>
      <w:tr>
        <w:tc>
          <w:tcPr>
            <w:tcW w:type="dxa" w:w="2048"/>
          </w:tcPr>
          <w:p>
            <w:r>
              <w:t xml:space="preserve">Ливневые и талые сточные воды (К3) </w:t>
            </w:r>
          </w:p>
        </w:tc>
        <w:tc>
          <w:tcPr>
            <w:tcW w:type="dxa" w:w="2048"/>
          </w:tcPr>
          <w:p>
            <w:r>
              <w:t>Расчет по СП РК</w:t>
            </w:r>
          </w:p>
        </w:tc>
        <w:tc>
          <w:tcPr>
            <w:tcW w:type="dxa" w:w="2048"/>
          </w:tcPr>
          <w:p>
            <w:r>
              <w:t>[Указать расход л/с]</w:t>
            </w:r>
          </w:p>
        </w:tc>
        <w:tc>
          <w:tcPr>
            <w:tcW w:type="dxa" w:w="2048"/>
          </w:tcPr>
          <w:p>
            <w:r>
              <w:t>Периодический</w:t>
            </w:r>
          </w:p>
        </w:tc>
        <w:tc>
          <w:tcPr>
            <w:tcW w:type="dxa" w:w="2048"/>
          </w:tcPr>
          <w:p>
            <w:r>
              <w:t>III категория</w:t>
            </w:r>
          </w:p>
        </w:tc>
      </w:tr>
    </w:tbl>
    <w:p>
      <w:r>
        <w:rPr>
          <w:b/>
          <w:sz w:val="26"/>
        </w:rPr>
        <w:t>2.2. Физико-химический профиль загрязнений (Design Basis Baseline)</w:t>
      </w:r>
    </w:p>
    <w:p>
      <w:r>
        <w:t>Параметры очистки стоков на выходе с КОС/ЛОС должны гарантированно соответствовать нормативам предельно допустимых концентраций (ПДК) согласно Экологическому Кодексу РК (редакция 2026 года).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8"/>
        <w:gridCol w:w="2048"/>
        <w:gridCol w:w="2048"/>
        <w:gridCol w:w="2048"/>
        <w:gridCol w:w="2048"/>
      </w:tblGrid>
      <w:tr>
        <w:tc>
          <w:tcPr>
            <w:tcW w:type="dxa" w:w="2048"/>
          </w:tcPr>
          <w:p>
            <w:r>
              <w:t>Наименование показателя загрязнения</w:t>
            </w:r>
          </w:p>
        </w:tc>
        <w:tc>
          <w:tcPr>
            <w:tcW w:type="dxa" w:w="2048"/>
          </w:tcPr>
          <w:p>
            <w:r>
              <w:t>Ед. изм.</w:t>
            </w:r>
          </w:p>
        </w:tc>
        <w:tc>
          <w:tcPr>
            <w:tcW w:type="dxa" w:w="2048"/>
          </w:tcPr>
          <w:p>
            <w:r>
              <w:t>Концентрация на входе</w:t>
            </w:r>
          </w:p>
        </w:tc>
        <w:tc>
          <w:tcPr>
            <w:tcW w:type="dxa" w:w="2048"/>
          </w:tcPr>
          <w:p>
            <w:r>
              <w:t>Требуемый выход (ПДК)</w:t>
            </w:r>
          </w:p>
        </w:tc>
        <w:tc>
          <w:tcPr>
            <w:tcW w:type="dxa" w:w="2048"/>
          </w:tcPr>
          <w:p>
            <w:r>
              <w:t>Метод контроля / Норматив</w:t>
            </w:r>
          </w:p>
        </w:tc>
      </w:tr>
      <w:tr>
        <w:tc>
          <w:tcPr>
            <w:tcW w:type="dxa" w:w="2048"/>
          </w:tcPr>
          <w:p>
            <w:r>
              <w:t>Водородный показатель (pH)</w:t>
            </w:r>
          </w:p>
        </w:tc>
        <w:tc>
          <w:tcPr>
            <w:tcW w:type="dxa" w:w="2048"/>
          </w:tcPr>
          <w:p>
            <w:r>
              <w:t>ед.</w:t>
            </w:r>
          </w:p>
        </w:tc>
        <w:tc>
          <w:tcPr>
            <w:tcW w:type="dxa" w:w="2048"/>
          </w:tcPr>
          <w:p>
            <w:r>
              <w:t>6.5 - 8.5</w:t>
            </w:r>
          </w:p>
        </w:tc>
        <w:tc>
          <w:tcPr>
            <w:tcW w:type="dxa" w:w="2048"/>
          </w:tcPr>
          <w:p>
            <w:r>
              <w:t>6.5 - 8.5</w:t>
            </w:r>
          </w:p>
        </w:tc>
        <w:tc>
          <w:tcPr>
            <w:tcW w:type="dxa" w:w="2048"/>
          </w:tcPr>
          <w:p>
            <w:r>
              <w:t>ГОСТ 26449.1</w:t>
            </w:r>
          </w:p>
        </w:tc>
      </w:tr>
      <w:tr>
        <w:tc>
          <w:tcPr>
            <w:tcW w:type="dxa" w:w="2048"/>
          </w:tcPr>
          <w:p>
            <w:r>
              <w:t>Взвешенные вещества (TSS)</w:t>
            </w:r>
          </w:p>
        </w:tc>
        <w:tc>
          <w:tcPr>
            <w:tcW w:type="dxa" w:w="2048"/>
          </w:tcPr>
          <w:p>
            <w:r>
              <w:t>мг/л</w:t>
            </w:r>
          </w:p>
        </w:tc>
        <w:tc>
          <w:tcPr>
            <w:tcW w:type="dxa" w:w="2048"/>
          </w:tcPr>
          <w:p>
            <w:r>
              <w:t>[Заполнить по ТЗ]</w:t>
            </w:r>
          </w:p>
        </w:tc>
        <w:tc>
          <w:tcPr>
            <w:tcW w:type="dxa" w:w="2048"/>
          </w:tcPr>
          <w:p>
            <w:r>
              <w:t>≤ 5.0</w:t>
            </w:r>
          </w:p>
        </w:tc>
        <w:tc>
          <w:tcPr>
            <w:tcW w:type="dxa" w:w="2048"/>
          </w:tcPr>
          <w:p>
            <w:r>
              <w:t>ГОСТ 3351</w:t>
            </w:r>
          </w:p>
        </w:tc>
      </w:tr>
      <w:tr>
        <w:tc>
          <w:tcPr>
            <w:tcW w:type="dxa" w:w="2048"/>
          </w:tcPr>
          <w:p>
            <w:r>
              <w:t>Биохимическое потребление кислорода (BOD₅)</w:t>
            </w:r>
          </w:p>
        </w:tc>
        <w:tc>
          <w:tcPr>
            <w:tcW w:type="dxa" w:w="2048"/>
          </w:tcPr>
          <w:p>
            <w:r>
              <w:t>мг/л</w:t>
            </w:r>
          </w:p>
        </w:tc>
        <w:tc>
          <w:tcPr>
            <w:tcW w:type="dxa" w:w="2048"/>
          </w:tcPr>
          <w:p>
            <w:r>
              <w:t>[Заполнить по ТЗ]</w:t>
            </w:r>
          </w:p>
        </w:tc>
        <w:tc>
          <w:tcPr>
            <w:tcW w:type="dxa" w:w="2048"/>
          </w:tcPr>
          <w:p>
            <w:r>
              <w:t>≤ 3.0</w:t>
            </w:r>
          </w:p>
        </w:tc>
        <w:tc>
          <w:tcPr>
            <w:tcW w:type="dxa" w:w="2048"/>
          </w:tcPr>
          <w:p>
            <w:r>
              <w:t>ПНД Ф 14.1:2:3:4.123</w:t>
            </w:r>
          </w:p>
        </w:tc>
      </w:tr>
      <w:tr>
        <w:tc>
          <w:tcPr>
            <w:tcW w:type="dxa" w:w="2048"/>
          </w:tcPr>
          <w:p>
            <w:r>
              <w:t>Химическое потребление кислорода (COD)</w:t>
            </w:r>
          </w:p>
        </w:tc>
        <w:tc>
          <w:tcPr>
            <w:tcW w:type="dxa" w:w="2048"/>
          </w:tcPr>
          <w:p>
            <w:r>
              <w:t>мг/л</w:t>
            </w:r>
          </w:p>
        </w:tc>
        <w:tc>
          <w:tcPr>
            <w:tcW w:type="dxa" w:w="2048"/>
          </w:tcPr>
          <w:p>
            <w:r>
              <w:t>[Заполнить по ТЗ]</w:t>
            </w:r>
          </w:p>
        </w:tc>
        <w:tc>
          <w:tcPr>
            <w:tcW w:type="dxa" w:w="2048"/>
          </w:tcPr>
          <w:p>
            <w:r>
              <w:t>≤ 30.0</w:t>
            </w:r>
          </w:p>
        </w:tc>
        <w:tc>
          <w:tcPr>
            <w:tcW w:type="dxa" w:w="2048"/>
          </w:tcPr>
          <w:p>
            <w:r>
              <w:t>ИСО 6060</w:t>
            </w:r>
          </w:p>
        </w:tc>
      </w:tr>
      <w:tr>
        <w:tc>
          <w:tcPr>
            <w:tcW w:type="dxa" w:w="2048"/>
          </w:tcPr>
          <w:p>
            <w:r>
              <w:t>Аммоний-ион (NH₄⁺ по азоту)</w:t>
            </w:r>
          </w:p>
        </w:tc>
        <w:tc>
          <w:tcPr>
            <w:tcW w:type="dxa" w:w="2048"/>
          </w:tcPr>
          <w:p>
            <w:r>
              <w:t>мг/л</w:t>
            </w:r>
          </w:p>
        </w:tc>
        <w:tc>
          <w:tcPr>
            <w:tcW w:type="dxa" w:w="2048"/>
          </w:tcPr>
          <w:p>
            <w:r>
              <w:t>[Заполнить по ТЗ]</w:t>
            </w:r>
          </w:p>
        </w:tc>
        <w:tc>
          <w:tcPr>
            <w:tcW w:type="dxa" w:w="2048"/>
          </w:tcPr>
          <w:p>
            <w:r>
              <w:t>≤ 0.39</w:t>
            </w:r>
          </w:p>
        </w:tc>
        <w:tc>
          <w:tcPr>
            <w:tcW w:type="dxa" w:w="2048"/>
          </w:tcPr>
          <w:p>
            <w:r>
              <w:t>ГОСТ 33045</w:t>
            </w:r>
          </w:p>
        </w:tc>
      </w:tr>
      <w:tr>
        <w:tc>
          <w:tcPr>
            <w:tcW w:type="dxa" w:w="2048"/>
          </w:tcPr>
          <w:p>
            <w:r>
              <w:t>Фосфаты (по фосфору PO₄³⁻)</w:t>
            </w:r>
          </w:p>
        </w:tc>
        <w:tc>
          <w:tcPr>
            <w:tcW w:type="dxa" w:w="2048"/>
          </w:tcPr>
          <w:p>
            <w:r>
              <w:t>мг/л</w:t>
            </w:r>
          </w:p>
        </w:tc>
        <w:tc>
          <w:tcPr>
            <w:tcW w:type="dxa" w:w="2048"/>
          </w:tcPr>
          <w:p>
            <w:r>
              <w:t>[Заполнить по ТЗ]</w:t>
            </w:r>
          </w:p>
        </w:tc>
        <w:tc>
          <w:tcPr>
            <w:tcW w:type="dxa" w:w="2048"/>
          </w:tcPr>
          <w:p>
            <w:r>
              <w:t>≤ 0.2</w:t>
            </w:r>
          </w:p>
        </w:tc>
        <w:tc>
          <w:tcPr>
            <w:tcW w:type="dxa" w:w="2048"/>
          </w:tcPr>
          <w:p>
            <w:r>
              <w:t>ГОСТ 18308</w:t>
            </w:r>
          </w:p>
        </w:tc>
      </w:tr>
      <w:tr>
        <w:tc>
          <w:tcPr>
            <w:tcW w:type="dxa" w:w="2048"/>
          </w:tcPr>
          <w:p>
            <w:r>
              <w:t>Нефтепродукты (TPH)</w:t>
            </w:r>
          </w:p>
        </w:tc>
        <w:tc>
          <w:tcPr>
            <w:tcW w:type="dxa" w:w="2048"/>
          </w:tcPr>
          <w:p>
            <w:r>
              <w:t>мг/л</w:t>
            </w:r>
          </w:p>
        </w:tc>
        <w:tc>
          <w:tcPr>
            <w:tcW w:type="dxa" w:w="2048"/>
          </w:tcPr>
          <w:p>
            <w:r>
              <w:t>[Заполнить по ТЗ]</w:t>
            </w:r>
          </w:p>
        </w:tc>
        <w:tc>
          <w:tcPr>
            <w:tcW w:type="dxa" w:w="2048"/>
          </w:tcPr>
          <w:p>
            <w:r>
              <w:t>≤ 0.05</w:t>
            </w:r>
          </w:p>
        </w:tc>
        <w:tc>
          <w:tcPr>
            <w:tcW w:type="dxa" w:w="2048"/>
          </w:tcPr>
          <w:p>
            <w:r>
              <w:t>ГОСТ 31953</w:t>
            </w:r>
          </w:p>
        </w:tc>
      </w:tr>
    </w:tbl>
    <w:p>
      <w:r>
        <w:rPr>
          <w:b/>
          <w:color w:val="0F172A"/>
          <w:sz w:val="32"/>
        </w:rPr>
        <w:t>3. Технологические требования к инженерным контурам очистки</w:t>
      </w:r>
    </w:p>
    <w:p>
      <w:r>
        <w:t>Предусмотреть технологическую схему с глубоким разделением фаз и многоступенчатой очисткой, обеспечивающую непрерывную работу комплекса при пиковых залповых сбросах.</w:t>
      </w:r>
    </w:p>
    <w:p>
      <w:r>
        <w:rPr>
          <w:b/>
          <w:sz w:val="26"/>
        </w:rPr>
        <w:t>3.1. Узел механической очистки и усреднения стока</w:t>
      </w:r>
    </w:p>
    <w:p>
      <w:pPr>
        <w:pStyle w:val="ListBullet"/>
      </w:pPr>
      <w:r>
        <w:t>Автоматизированные сороудерживающие решетки: Тонкая механическая фильтрация. При выборе технологии MBR размер ячеек/прозоров барабанных сит не должен превышать 1.0 мм во избежание повреждения ультрафильтрационных волокон. Должен быть предусмотрен шнековый пресс-уплотнитель отбросов.</w:t>
      </w:r>
    </w:p>
    <w:p>
      <w:pPr>
        <w:pStyle w:val="ListBullet"/>
      </w:pPr>
      <w:r>
        <w:t>Резервуар-усреднитель (Equalization Tank): Эффективный гидравлический объем должен составлять не менее 6-8 часов среднесуточного притока стока. Предусмотреть непрерывный барботаж воздухом через крупнопузырьковые диффузоры для предотвращения осаждения взвешенных веществ и загнивания жидкой фазы.</w:t>
      </w:r>
    </w:p>
    <w:p>
      <w:r>
        <w:rPr>
          <w:b/>
          <w:sz w:val="26"/>
        </w:rPr>
        <w:t>3.2. Узел физико-химической очистки (ЛОС промстоков)</w:t>
      </w:r>
    </w:p>
    <w:p>
      <w:pPr>
        <w:pStyle w:val="ListBullet"/>
      </w:pPr>
      <w:r>
        <w:t>Автоматический блок реагентного хозяйства: Станции динамического приготовления и дозирования растворов коагулянта (соли алюминия/железа) и флокулянта с обратной связью по расходу стоков.</w:t>
      </w:r>
    </w:p>
    <w:p>
      <w:pPr>
        <w:pStyle w:val="ListBullet"/>
      </w:pPr>
      <w:r>
        <w:t>Напорная флотация (DAF): Корпус установки выполнить из коррозионностойкой стали AISI 304/316. Обеспечить генерацию микропузырьков воздуха (20-40 мкм) для эффективного извлечения флотошлама, масел и эмульгированных нефтепродуктов.</w:t>
      </w:r>
    </w:p>
    <w:p>
      <w:r>
        <w:rPr>
          <w:b/>
          <w:sz w:val="26"/>
        </w:rPr>
        <w:t>3.3. Блок глубокой биологической очистки</w:t>
      </w:r>
    </w:p>
    <w:p>
      <w:r>
        <w:t>Выполнить расчет и обоснование применения современных технологий интенсификации биологических процессов очистки стоков: MBR (Мембранный биореактор) или MBBR (Псевдоожиженный слой биопленки на подвижной загрузке) .</w:t>
      </w:r>
    </w:p>
    <w:p>
      <w:pPr>
        <w:pStyle w:val="ListBullet"/>
      </w:pPr>
      <w:r>
        <w:t>Зоны анаэробной/аноксидной деструкции: Обеспечить условия для протекания процессов глубокой дефосфорации и денитрификации. Запроектировать контур возврата нитратного ила из зоны аэрации со скоростью рециркуляции от 300% до 500% от номинального притока Q.</w:t>
      </w:r>
    </w:p>
    <w:p>
      <w:pPr>
        <w:pStyle w:val="ListBullet"/>
      </w:pPr>
      <w:r>
        <w:t>Аэротенк (Зона оксигенации): Система мелкопузырьковой донной аэрации на базе трубчатых или дисковых диффузоров из износостойкого EPDM. Автоматически поддерживать концентрацию растворенного кислорода в диапазоне 2.0 - 4.0 мг/л.</w:t>
      </w:r>
    </w:p>
    <w:p>
      <w:pPr>
        <w:pStyle w:val="ListBullet"/>
      </w:pPr>
      <w:r>
        <w:t>Ультрафильтрационный MBR-блок: Половолоконные мембранные модули (размер пор не более 0.04 мкм) с автоматическими циклами обратной промывки, релаксации и химически усиленной CIP-мойки (CEB).</w:t>
      </w:r>
    </w:p>
    <w:p>
      <w:r>
        <w:rPr>
          <w:b/>
          <w:sz w:val="26"/>
        </w:rPr>
        <w:t>3.4. Обеззараживание и обработка осадка</w:t>
      </w:r>
    </w:p>
    <w:p>
      <w:pPr>
        <w:pStyle w:val="ListBullet"/>
      </w:pPr>
      <w:r>
        <w:t>Дезинфекция: Исключить применение опасного жидкого хлора. Заложить технологию закрытой ультрафиолетовой (УФ) дезинфекции с автоматической очисткой кварцевых чехлов излучателей.</w:t>
      </w:r>
    </w:p>
    <w:p>
      <w:pPr>
        <w:pStyle w:val="ListBullet"/>
      </w:pPr>
      <w:r>
        <w:t>Обезвоживание шлама: Использовать высокопроизводительные мультидисковые шнековые дегидраторы (MDS) или декантеры с доведением конечной влажности кека до уровня не более 75-80%.</w:t>
      </w:r>
    </w:p>
    <w:p>
      <w:r>
        <w:rPr>
          <w:b/>
          <w:color w:val="0F172A"/>
          <w:sz w:val="32"/>
        </w:rPr>
        <w:t>4. Архитектурно-строительные решения (КЖ/КМ)</w:t>
      </w:r>
    </w:p>
    <w:p>
      <w:pPr>
        <w:pStyle w:val="ListBullet"/>
      </w:pPr>
      <w:r>
        <w:t>Все заглубленные и наземные емкостные сооружения (резервуары, аэротенки) выполнить из монолитного железобетона. Класс бетона по прочности — не ниже B25/B30 , по морозостойкости — не ниже F200/F300 , по водонепроницаемости — не ниже W8/W10 с добавлением пенетрирующих гидроизоляционных компонентов на стадии замеса бетона.</w:t>
      </w:r>
    </w:p>
    <w:p>
      <w:pPr>
        <w:pStyle w:val="ListBullet"/>
      </w:pPr>
      <w:r>
        <w:t>Внутренние бетонные поверхности, контактирующие с агрессивной газовой средой (H₂S, NH₃) и стоками, защитить химстойким эпоксидным составом (толщина покрытия не менее 400 мкм).</w:t>
      </w:r>
    </w:p>
    <w:p>
      <w:pPr>
        <w:pStyle w:val="ListBullet"/>
      </w:pPr>
      <w:r>
        <w:t>Надземные технологические павильоны спроектировать на базе металлокаркаса (КМ) с обшивкой трехслойными сэндвич-панелями толщиной от 150 мм (в соответствии с СП РК 2.04-101-2014 «Строительная климатология»).</w:t>
      </w:r>
    </w:p>
    <w:p>
      <w:r>
        <w:rPr>
          <w:b/>
          <w:color w:val="0F172A"/>
          <w:sz w:val="32"/>
        </w:rPr>
        <w:t>5. Автоматизация (АТХ), мониторинг и интеграция SCADA</w:t>
      </w:r>
    </w:p>
    <w:p>
      <w:r>
        <w:t>Комплекс очистных сооружений должен функционировать в полностью автоматическом автономном режиме без необходимости постоянного присутствия дежурной смены операторов (Управление по принципу Unmanned Operation ).</w:t>
      </w:r>
    </w:p>
    <w:p>
      <w:r>
        <w:rPr>
          <w:b/>
          <w:sz w:val="26"/>
        </w:rPr>
        <w:t>5.1. Уровни автоматизации</w:t>
      </w:r>
    </w:p>
    <w:p>
      <w:pPr>
        <w:pStyle w:val="ListBullet"/>
      </w:pPr>
      <w:r>
        <w:t>Нижний (Полевой): Интеграция высокоточных первичных датчиков и КИПиА (Endress+Hauser, Siemens, Wika) с поддержкой цифровых интерфейсов передачи данных Modbus TCP/IP или Profinet.</w:t>
      </w:r>
    </w:p>
    <w:p>
      <w:pPr>
        <w:pStyle w:val="ListBullet"/>
      </w:pPr>
      <w:r>
        <w:t>Средний (Контроллерный): Применение ПЛК промышленного класса (уровня Siemens S7-1500 / Schneider Electric Modicon M580) с поддержкой горячего резервирования центральных процессоров.</w:t>
      </w:r>
    </w:p>
    <w:p>
      <w:pPr>
        <w:pStyle w:val="ListBullet"/>
      </w:pPr>
      <w:r>
        <w:t>Верхний (Диспетчеризация): Полнофункциональная интеграция телеметрии в единую SCADA-систему предприятия с выводом мнемосхем, трендов, архивацией технологических параметров и наработки часов динамического оборудования.</w:t>
      </w:r>
    </w:p>
    <w:p>
      <w:r>
        <w:rPr>
          <w:b/>
          <w:sz w:val="26"/>
        </w:rPr>
        <w:t>5.2. Комплектация измерительными приборами</w:t>
      </w:r>
    </w:p>
    <w:p>
      <w:pPr>
        <w:pStyle w:val="ListBullet"/>
      </w:pPr>
      <w:r>
        <w:t>Электромагнитные расходомеры на узлах подачи сырого стока, линиях избыточного/возвратного ила и общем выпуске пермеата.</w:t>
      </w:r>
    </w:p>
    <w:p>
      <w:pPr>
        <w:pStyle w:val="ListBullet"/>
      </w:pPr>
      <w:r>
        <w:t>Ультразвуковые и радарные уровнемеры в КНС, усреднителях и баках оборотной промывки мембран.</w:t>
      </w:r>
    </w:p>
    <w:p>
      <w:pPr>
        <w:pStyle w:val="ListBullet"/>
      </w:pPr>
      <w:r>
        <w:t>Поточные оптические анализаторы качества жидкой фазы: датчики растворенного кислорода (DO) в аэротенках, датчики мутности (TSS), датчики pH и электропроводности.</w:t>
      </w:r>
    </w:p>
    <w:p>
      <w:pPr>
        <w:pStyle w:val="ListBullet"/>
      </w:pPr>
      <w:r>
        <w:t>Автоматический фотометрический комплекс онлайн-мониторинга общего азота, нитратов и общего фосфора на узле финального выпуска очищенных вод для прямой передачи экологических данных в базы Министерства экологии и природных ресурсов РК согласно ЭкоКодексу-2026.</w:t>
      </w:r>
    </w:p>
    <w:p>
      <w:r>
        <w:rPr>
          <w:b/>
          <w:color w:val="0F172A"/>
          <w:sz w:val="32"/>
        </w:rPr>
        <w:t>6. Требования к энергоэффективности (OPEX)</w:t>
      </w:r>
    </w:p>
    <w:p>
      <w:pPr>
        <w:pStyle w:val="ListBullet"/>
      </w:pPr>
      <w:r>
        <w:t>Все электродвигатели насосных агрегатов, мешалок и приводов шнеков должны иметь международный класс энергоэффективности не ниже IE4 (Super Premium Efficiency).</w:t>
      </w:r>
    </w:p>
    <w:p>
      <w:pPr>
        <w:pStyle w:val="ListBullet"/>
      </w:pPr>
      <w:r>
        <w:t>Все насосы переменной производительности и ротационные воздуходувки оснастить преобразователями частоты (VFD). Алгоритм работы воздуходувок жестко связать с показаниями датчиков растворенного кислорода в аэротенках для минимизации нецелевого расхода электроэнергии.</w:t>
      </w:r>
    </w:p>
    <w:p>
      <w:r>
        <w:rPr>
          <w:b/>
          <w:color w:val="0F172A"/>
          <w:sz w:val="32"/>
        </w:rPr>
        <w:t>7. Состав и формат выдачи проектной документации</w:t>
      </w:r>
    </w:p>
    <w:p>
      <w:r>
        <w:t>Проектно-сметная документация должна быть передана Заказчику в 4 (четырех) печатных экземплярах, а также на электронных носителях в следующем составе:</w:t>
      </w:r>
    </w:p>
    <w:p>
      <w:pPr>
        <w:pStyle w:val="ListBullet"/>
      </w:pPr>
      <w:r>
        <w:t>Пояснительные записки и технологические/гидравлические расчеты: форматы PDF и MS Word (`.docx`).</w:t>
      </w:r>
    </w:p>
    <w:p>
      <w:pPr>
        <w:pStyle w:val="ListBullet"/>
      </w:pPr>
      <w:r>
        <w:t>Графические материалы (чертежи планов, профилей, схем P&amp;ID): форматы PDF и редактируемый векторный AutoCAD (`.dwg`).</w:t>
      </w:r>
    </w:p>
    <w:p>
      <w:pPr>
        <w:pStyle w:val="ListBullet"/>
      </w:pPr>
      <w:r>
        <w:t>Сводная трехмерная информационная модель всего комплекса КОС/ЛОС: форматы Autodesk Revit (`.rvt`) и открытый универсальный формат обмена данными IFC.</w:t>
      </w:r>
    </w:p>
    <w:p>
      <w:pPr>
        <w:pStyle w:val="ListBullet"/>
      </w:pPr>
      <w:r>
        <w:t>Сметная документация: выполнена в сертифицированном ПО АВС-4 (в формате файлов `.xml` и Excel).</w:t>
      </w:r>
    </w:p>
    <w:p>
      <w:r>
        <w:rPr>
          <w:b/>
          <w:color w:val="0F172A"/>
          <w:sz w:val="32"/>
        </w:rPr>
        <w:t>8. Пример фрагмента выполненного проекта (Инженерный образец ПСД марки ТХ)</w:t>
      </w:r>
    </w:p>
    <w:p>
      <w:r>
        <w:rPr>
          <w:b/>
          <w:sz w:val="26"/>
        </w:rPr>
        <w:t>8.1. Технологическое описание узла фильтрации</w:t>
      </w:r>
    </w:p>
    <w:p>
      <w:r>
        <w:t>В проекте применена модульная конфигурация вакуумных ультрафильтрационных мембран MBR. Процесс фильтрации осуществляется в циклическом режиме: 9 минут — прямая фильтрация (откачка пермеата под действием разрежения, создаваемого самовсасывающими насосами), 1 минута — релаксация мембран с одновременным интенсивным барботажем воздухом для очистки поверхности волокон от налипшего биоосадка.</w:t>
      </w:r>
    </w:p>
    <w:p>
      <w:r>
        <w:rPr>
          <w:b/>
          <w:sz w:val="26"/>
        </w:rPr>
        <w:t>8.2. Выдержка из спецификации ключевого технологического оборудования (Раздел 04-ТХ.СП)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8"/>
        <w:gridCol w:w="2048"/>
        <w:gridCol w:w="2048"/>
        <w:gridCol w:w="2048"/>
        <w:gridCol w:w="2048"/>
      </w:tblGrid>
      <w:tr>
        <w:tc>
          <w:tcPr>
            <w:tcW w:type="dxa" w:w="2048"/>
          </w:tcPr>
          <w:p>
            <w:r>
              <w:t>Поз. на схеме</w:t>
            </w:r>
          </w:p>
        </w:tc>
        <w:tc>
          <w:tcPr>
            <w:tcW w:type="dxa" w:w="2048"/>
          </w:tcPr>
          <w:p>
            <w:r>
              <w:t>Наименование и краткая техническая характеристика</w:t>
            </w:r>
          </w:p>
        </w:tc>
        <w:tc>
          <w:tcPr>
            <w:tcW w:type="dxa" w:w="2048"/>
          </w:tcPr>
          <w:p>
            <w:r>
              <w:t>Кол-во</w:t>
            </w:r>
          </w:p>
        </w:tc>
        <w:tc>
          <w:tcPr>
            <w:tcW w:type="dxa" w:w="2048"/>
          </w:tcPr>
          <w:p>
            <w:r>
              <w:t>Завод-изготовитель</w:t>
            </w:r>
          </w:p>
        </w:tc>
        <w:tc>
          <w:tcPr>
            <w:tcW w:type="dxa" w:w="2048"/>
          </w:tcPr>
          <w:p>
            <w:r>
              <w:t>Материал корпуса / Параметры питания</w:t>
            </w:r>
          </w:p>
        </w:tc>
      </w:tr>
      <w:tr>
        <w:tc>
          <w:tcPr>
            <w:tcW w:type="dxa" w:w="2048"/>
          </w:tcPr>
          <w:p>
            <w:r>
              <w:t>P-01.1</w:t>
            </w:r>
          </w:p>
        </w:tc>
        <w:tc>
          <w:tcPr>
            <w:tcW w:type="dxa" w:w="2048"/>
          </w:tcPr>
          <w:p>
            <w:r>
              <w:t>Насос подачи усредненного стока на биологическую очистку. Центробежный, погружной, с вихревым рабочим колесом Vortex. Производительность Q = 65.0 куб.м/ч, Напор H = 14.0 м.</w:t>
            </w:r>
          </w:p>
        </w:tc>
        <w:tc>
          <w:tcPr>
            <w:tcW w:type="dxa" w:w="2048"/>
          </w:tcPr>
          <w:p>
            <w:r>
              <w:t>1</w:t>
            </w:r>
          </w:p>
        </w:tc>
        <w:tc>
          <w:tcPr>
            <w:tcW w:type="dxa" w:w="2048"/>
          </w:tcPr>
          <w:p>
            <w:r>
              <w:t>Grundfos (Серия SLV)</w:t>
            </w:r>
          </w:p>
        </w:tc>
        <w:tc>
          <w:tcPr>
            <w:tcW w:type="dxa" w:w="2048"/>
          </w:tcPr>
          <w:p>
            <w:r>
              <w:t>Чугун EN-GJL-250, рабочее колесо — нержавеющая сталь. Мощность 4.2 кВт, 380 В. Класс защиты IP68.</w:t>
            </w:r>
          </w:p>
        </w:tc>
      </w:tr>
      <w:tr>
        <w:tc>
          <w:tcPr>
            <w:tcW w:type="dxa" w:w="2048"/>
          </w:tcPr>
          <w:p>
            <w:r>
              <w:t>P-01.2</w:t>
            </w:r>
          </w:p>
        </w:tc>
        <w:tc>
          <w:tcPr>
            <w:tcW w:type="dxa" w:w="2048"/>
          </w:tcPr>
          <w:p>
            <w:r>
              <w:t>Насос подачи стока. Резервный к поз. P-01.1. Технические характеристики идентичны.</w:t>
            </w:r>
          </w:p>
        </w:tc>
        <w:tc>
          <w:tcPr>
            <w:tcW w:type="dxa" w:w="2048"/>
          </w:tcPr>
          <w:p>
            <w:r>
              <w:t>1</w:t>
            </w:r>
          </w:p>
        </w:tc>
        <w:tc>
          <w:tcPr>
            <w:tcW w:type="dxa" w:w="2048"/>
          </w:tcPr>
          <w:p>
            <w:r>
              <w:t>Grundfos (Серия SLV)</w:t>
            </w:r>
          </w:p>
        </w:tc>
        <w:tc>
          <w:tcPr>
            <w:tcW w:type="dxa" w:w="2048"/>
          </w:tcPr>
          <w:p>
            <w:r>
              <w:t>Чугун EN-GJL-250. Мощность 4.2 кВт, 380 В.</w:t>
            </w:r>
          </w:p>
        </w:tc>
      </w:tr>
      <w:tr>
        <w:tc>
          <w:tcPr>
            <w:tcW w:type="dxa" w:w="2048"/>
          </w:tcPr>
          <w:p>
            <w:r>
              <w:t>B-01.1</w:t>
            </w:r>
          </w:p>
        </w:tc>
        <w:tc>
          <w:tcPr>
            <w:tcW w:type="dxa" w:w="2048"/>
          </w:tcPr>
          <w:p>
            <w:r>
              <w:t>Ротационная воздуходувка подачи воздуха в аэротенк. Двухроторная (тип Рутс). Производительность по воздуху V = 1200 куб.м/ч, развиваемое избыточное давление 0.6 бар.</w:t>
            </w:r>
          </w:p>
        </w:tc>
        <w:tc>
          <w:tcPr>
            <w:tcW w:type="dxa" w:w="2048"/>
          </w:tcPr>
          <w:p>
            <w:r>
              <w:t>2</w:t>
            </w:r>
          </w:p>
        </w:tc>
        <w:tc>
          <w:tcPr>
            <w:tcW w:type="dxa" w:w="2048"/>
          </w:tcPr>
          <w:p>
            <w:r>
              <w:t>Robuschi (Серия Robox)</w:t>
            </w:r>
          </w:p>
        </w:tc>
        <w:tc>
          <w:tcPr>
            <w:tcW w:type="dxa" w:w="2048"/>
          </w:tcPr>
          <w:p>
            <w:r>
              <w:t>Моноблочное исполнение в звукоизолирующем кожухе. Комплектуется инвертором VFD. Мощность 22.0 кВт, 380 В. Класс двигателя IE4.</w:t>
            </w:r>
          </w:p>
        </w:tc>
      </w:tr>
      <w:tr>
        <w:tc>
          <w:tcPr>
            <w:tcW w:type="dxa" w:w="2048"/>
          </w:tcPr>
          <w:p>
            <w:r>
              <w:t>M-01.1</w:t>
            </w:r>
          </w:p>
        </w:tc>
        <w:tc>
          <w:tcPr>
            <w:tcW w:type="dxa" w:w="2048"/>
          </w:tcPr>
          <w:p>
            <w:r>
              <w:t>Кассета ультрафильтрационных мембран MBR. Общая площадь фильтрационной поверхности одного модуля S = 420 кв.м. Размер пор мембран 0.04 мкм.</w:t>
            </w:r>
          </w:p>
        </w:tc>
        <w:tc>
          <w:tcPr>
            <w:tcW w:type="dxa" w:w="2048"/>
          </w:tcPr>
          <w:p>
            <w:r>
              <w:t>4</w:t>
            </w:r>
          </w:p>
        </w:tc>
        <w:tc>
          <w:tcPr>
            <w:tcW w:type="dxa" w:w="2048"/>
          </w:tcPr>
          <w:p>
            <w:r>
              <w:t>Weyrin-Pure Membr</w:t>
            </w:r>
          </w:p>
        </w:tc>
        <w:tc>
          <w:tcPr>
            <w:tcW w:type="dxa" w:w="2048"/>
          </w:tcPr>
          <w:p>
            <w:r>
              <w:t>Материал мембран: ПВДФ (PVDF) с повышенной гидрофильностью. Армированное волокно. Статический элемент.</w:t>
            </w:r>
          </w:p>
        </w:tc>
      </w:tr>
    </w:tbl>
    <w:p>
      <w:r>
        <w:t>«___» ________ 202_ г. М.П.</w:t>
      </w:r>
    </w:p>
    <w:p>
      <w:r>
        <w:t>«___» ________ 202_ г. М.П.</w:t>
      </w:r>
    </w:p>
    <w:sectPr w:rsidR="00FC693F" w:rsidRPr="0006063C" w:rsidSect="00034616">
      <w:pgSz w:w="12240" w:h="15840"/>
      <w:pgMar w:top="1440" w:right="1000" w:bottom="1440" w:left="10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